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d18d25acf48a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9361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IVANE BRLIĆ-MAŽURANIĆ ORAHOVICA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1.580.616,39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1.678.721,56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1.592.756,67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1.799.098,36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120.376,80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9.203,51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10.687,39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9.203,51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10.687,39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21.343,79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131.064,19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614,1</w:t>
            </w:r>
          </w:p>
        </w:tc>
      </w:tr>
    </w:tbl>
    <w:p>
      <w:pPr>
        <w:spacing w:before="0" w:after="0"/>
      </w:pPr>
    </w:p>
    <w:p>
      <w:r>
        <w:t xml:space="preserve">Manjak prihoda u 2025. nastao je zbog ukidanja kontinuiranih rashoda i knjiženja 13 rashoda na trošak (plaće), dok je knjiženo 12 prihoda, te kašnjenja prihoda od strane MZOM -a za prehranu učenika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1.470.517,91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1.566.602,81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</w:tbl>
    <w:p>
      <w:pPr>
        <w:spacing w:before="0" w:after="0"/>
      </w:pPr>
    </w:p>
    <w:p>
      <w:r>
        <w:t xml:space="preserve">Tekuće pomoći od MZOM-a – povećanje indeksa zbog povećanja osnovice za obračun plaća u javnim službama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15.328,31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7.422,47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48,4</w:t>
            </w:r>
          </w:p>
        </w:tc>
      </w:tr>
    </w:tbl>
    <w:p>
      <w:pPr>
        <w:spacing w:before="0" w:after="0"/>
      </w:pPr>
    </w:p>
    <w:p>
      <w:r>
        <w:t xml:space="preserve">Prihodi su smanjeni u odnosu na prethodnu godinu</w:t>
      </w:r>
    </w:p>
    <w:p>
      <w:r>
        <w:t xml:space="preserve">-          K-to 6615 odnosi se na najam školske sportske dvorane, upravljanje dvoranom izmjenjujemo sa SŠ „Stjepan Ivšić“ svake druge godine</w:t>
      </w:r>
    </w:p>
    <w:p>
      <w:r>
        <w:t xml:space="preserve">-          K-to 6631 – smanjen je iznos dobivenih donacija u novcu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1.113.836,08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1.300.112,89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Plaće (bruto), ostvarene su više u odnosu na prošlu godinu, povećanje zbog povećanja osnovice za obračun plaće, te zbog ukidanja kontinuiranih rashoda i terećenja konta rashoda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183.681,13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213.146,49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Doprinosi na plaće, ostvareni su više nego prošle godine, a isplaćeni su sukladno važećim zakonskim propisima - ukidanje kontinuiranih rashoda i terećenja konta rashoda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Pristojbe i naknade – indeks je povećan zbog povećanja iznosa minimalne plaće u 2025., time i obveze plaćanja naknade zbog nezapošljavanja osoba s invaliditetom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9.203,51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10.687,39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Indeks u odnosu na prethodnu godinu nije značajno promijenjen; škola nije imala sredstava za ulaganje u opremu.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119.752,85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5236,7</w:t>
            </w:r>
          </w:p>
        </w:tc>
      </w:tr>
    </w:tbl>
    <w:p>
      <w:pPr>
        <w:spacing w:before="0" w:after="0"/>
      </w:pPr>
    </w:p>
    <w:p>
      <w:r>
        <w:t xml:space="preserve">zbog nove sheme knjiženja (ukidanja kontinuiranih rashoda i knjiženja potraživanja MZOM-a za plaću) indeks znatno povećan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21.343,79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614,1</w:t>
            </w:r>
          </w:p>
        </w:tc>
      </w:tr>
    </w:tbl>
    <w:p>
      <w:pPr>
        <w:spacing w:before="0" w:after="0"/>
      </w:pPr>
    </w:p>
    <w:p>
      <w:r>
        <w:t xml:space="preserve">Manjak prihoda za razdoblje siječanj-prosinac 2025. nastao je zbog ukidanja kontinuiranih rashoda i knjiženja rashoda na trošak (plaće za 12/24) - 13 rashoda, a 12 prihoda u 2025. godini, te kašnjenja prihoda od strane MZOM -a za prehranu učenika.</w:t>
      </w:r>
    </w:p>
    <w:tbl>
      <w:tblPr>
        <w:tblStyle w:val="TableGrid"/>
        <w:tblW w:w="5000" w:type="pct"/>
      </w:tblPr>
      <w:tblGrid>
        <w:gridCol w:w="1267"/>
        <w:gridCol w:w="1048"/>
        <w:gridCol w:w="1039"/>
        <w:gridCol w:w="1045"/>
        <w:gridCol w:w="1040"/>
        <w:gridCol w:w="1045"/>
        <w:gridCol w:w="1042"/>
        <w:gridCol w:w="1056"/>
        <w:gridCol w:w="1043"/>
      </w:tblGrid>
      <w:tr>
        <w:trPr/>
        <w:tc>
          <w:tcPr>
            <w:tcW w:w="658" w:type="pct"/>
            <w:vAlign w:val="center"/>
          </w:tcPr>
          <w:p>
            <w:r>
              <w:t xml:space="preserve">Izvori prihoda i primitaka/Oznaka rač. iz rač. plana</w:t>
            </w:r>
          </w:p>
        </w:tc>
        <w:tc>
          <w:tcPr>
            <w:tcW w:w="544" w:type="pct"/>
            <w:vAlign w:val="center"/>
          </w:tcPr>
          <w:p>
            <w:r>
              <w:t xml:space="preserve">Opći prihodi i primici</w:t>
            </w:r>
          </w:p>
        </w:tc>
        <w:tc>
          <w:tcPr>
            <w:tcW w:w="539" w:type="pct"/>
            <w:vAlign w:val="center"/>
          </w:tcPr>
          <w:p>
            <w:r>
              <w:t xml:space="preserve">Vlastiti prihodi</w:t>
            </w:r>
          </w:p>
        </w:tc>
        <w:tc>
          <w:tcPr>
            <w:tcW w:w="542" w:type="pct"/>
            <w:vAlign w:val="center"/>
          </w:tcPr>
          <w:p>
            <w:r>
              <w:t xml:space="preserve">Prihodi za posebne namjene</w:t>
            </w:r>
          </w:p>
        </w:tc>
        <w:tc>
          <w:tcPr>
            <w:tcW w:w="540" w:type="pct"/>
            <w:vAlign w:val="center"/>
          </w:tcPr>
          <w:p>
            <w:r>
              <w:t xml:space="preserve">Pomoći</w:t>
            </w:r>
          </w:p>
        </w:tc>
        <w:tc>
          <w:tcPr>
            <w:tcW w:w="542" w:type="pct"/>
            <w:vAlign w:val="center"/>
          </w:tcPr>
          <w:p>
            <w:r>
              <w:t xml:space="preserve">Donacije</w:t>
            </w:r>
          </w:p>
        </w:tc>
        <w:tc>
          <w:tcPr>
            <w:tcW w:w="541" w:type="pct"/>
            <w:vAlign w:val="center"/>
          </w:tcPr>
          <w:p>
            <w:r>
              <w:t xml:space="preserve">Prihodi od prodaje imovine</w:t>
            </w:r>
          </w:p>
        </w:tc>
        <w:tc>
          <w:tcPr>
            <w:tcW w:w="548" w:type="pct"/>
            <w:vAlign w:val="center"/>
          </w:tcPr>
          <w:p>
            <w:r>
              <w:t xml:space="preserve">Primitak od zaduživanja</w:t>
            </w:r>
          </w:p>
        </w:tc>
        <w:tc>
          <w:tcPr>
            <w:tcW w:w="541" w:type="pct"/>
            <w:vAlign w:val="center"/>
          </w:tcPr>
          <w:p>
            <w:r>
              <w:t xml:space="preserve">Ukupno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6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89.727,02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2.974,37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1.580.729,74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5.285,43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1.678.721,56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3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89.773,72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1.706.531,22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2.788,42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1.799.098,36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Višak/manjak od redovnog poslovanja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-46,70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2.974,37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-125.801,48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2.497,01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-120.376,80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7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4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2.974,37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5.216,01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2.497,01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10.687,39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Višak/manjak od nefinancijske imovine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-2.974,37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-5.216,01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-2.497,01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8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5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Višak/manjak primitaka od financijske imovine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/>
        <w:tc>
          <w:tcPr>
            <w:tcW w:w="658" w:type="pct"/>
            <w:vAlign w:val="center"/>
          </w:tcPr>
          <w:p>
            <w:r>
              <w:t xml:space="preserve">UKUPNI REZULTAT</w:t>
            </w:r>
          </w:p>
        </w:tc>
        <w:tc>
          <w:tcPr>
            <w:tcW w:w="544" w:type="pct"/>
            <w:vAlign w:val="center"/>
          </w:tcPr>
          <w:p>
            <w:pPr>
              <w:keepNext/>
              <w:jc w:val="right"/>
            </w:pPr>
            <w:r>
              <w:t xml:space="preserve">-46,70</w:t>
            </w:r>
          </w:p>
        </w:tc>
        <w:tc>
          <w:tcPr>
            <w:tcW w:w="539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0" w:type="pct"/>
            <w:vAlign w:val="center"/>
          </w:tcPr>
          <w:p>
            <w:pPr>
              <w:keepNext/>
              <w:jc w:val="right"/>
            </w:pPr>
            <w:r>
              <w:t xml:space="preserve">-131.017,49</w:t>
            </w:r>
          </w:p>
        </w:tc>
        <w:tc>
          <w:tcPr>
            <w:tcW w:w="542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541" w:type="pct"/>
            <w:vAlign w:val="center"/>
          </w:tcPr>
          <w:p>
            <w:pPr>
              <w:keepNext/>
              <w:jc w:val="right"/>
            </w:pPr>
            <w:r>
              <w:t xml:space="preserve">-131.064,19</w:t>
            </w:r>
          </w:p>
        </w:tc>
      </w:tr>
    </w:tbl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936.423,91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878.226,16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Smanjenje imovine zbog provođenja ispravka vrijednosti imovine i opreme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119.692,85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plaću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3,0</w:t>
            </w:r>
          </w:p>
        </w:tc>
      </w:tr>
    </w:tbl>
    <w:p>
      <w:pPr>
        <w:spacing w:before="0" w:after="0"/>
      </w:pPr>
    </w:p>
    <w:p>
      <w:r>
        <w:t xml:space="preserve">Potraživanje od najma prostora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66.588,48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53.749,40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80,7</w:t>
            </w:r>
          </w:p>
        </w:tc>
      </w:tr>
    </w:tbl>
    <w:p>
      <w:pPr>
        <w:spacing w:before="0" w:after="0"/>
      </w:pPr>
    </w:p>
    <w:p>
      <w:r>
        <w:t xml:space="preserve">Potraživanja proračunskih korisnika za sredstva uplaćena u nadležni proračun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123.244,01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128.807,95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Obveze za zaposlene povećane su u donosu na prošlu godinu zbog povećanja koeficijenata i osnovice plaće (rasle su plaće). Obveze za materijalne rashode povećane su, a obveze koje postoje uglavnom se odnose na račune za prosinac, najveći dio na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56.055,41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-75.008,78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-133,8</w:t>
            </w:r>
          </w:p>
        </w:tc>
      </w:tr>
    </w:tbl>
    <w:p>
      <w:pPr>
        <w:spacing w:before="0" w:after="0"/>
      </w:pPr>
    </w:p>
    <w:p>
      <w:r>
        <w:t xml:space="preserve">Podaci u bilanci iskazani su nakon obvezne korekcije rezultata sukladno čl. 215 Pravilnika o proračunskom računovodstvu te je iskazan manjak prihoda poslovanja u iznosu od 75.008,78 € (nastao je kao rezultat prenesenog viška prihoda poslovanja u visini 56.055,41 €, umanjenog za ostvareni manjak prihoda poslovanja tekuće godine po PR-RAS obrascu X001 u visini 120.376,80 € te umanjen za korekciju rezultata u visini 2.814,31 €), te manjak prihoda od nefinancijske imovine u iznosu od 10.687,39 € (ostvareni manjak prihoda od nefinancijske imovine tekuće godine u visini 9.203,51 € te umanjen za korekciju rezultata u visini 2.814,31 €) . Temeljem navedenoga postoji odstupanje u odnosu na PR-RAS kako slijedi:</w:t>
      </w:r>
    </w:p>
    <w:tbl>
      <w:tblPr>
        <w:tblStyle w:val="TableGrid"/>
        <w:tblW w:w="5000" w:type="pct"/>
      </w:tblPr>
      <w:tblGrid>
        <w:gridCol w:w="1925"/>
        <w:gridCol w:w="1925"/>
        <w:gridCol w:w="1925"/>
        <w:gridCol w:w="1925"/>
        <w:gridCol w:w="1925"/>
      </w:tblGrid>
      <w:tr>
        <w:trPr/>
        <w:tc>
          <w:tcPr>
            <w:tcW w:w="1000" w:type="pct"/>
            <w:vAlign w:val="center"/>
          </w:tcPr>
          <w:p>
            <w:r>
              <w:t xml:space="preserve"> </w:t>
            </w:r>
          </w:p>
        </w:tc>
        <w:tc>
          <w:tcPr>
            <w:tcW w:w="1000" w:type="pct"/>
            <w:vAlign w:val="center"/>
          </w:tcPr>
          <w:p>
            <w:r>
              <w:t xml:space="preserve">Pozicije na dan 31.12.</w:t>
            </w:r>
          </w:p>
        </w:tc>
        <w:tc>
          <w:tcPr>
            <w:tcW w:w="1000" w:type="pct"/>
            <w:vAlign w:val="center"/>
          </w:tcPr>
          <w:p>
            <w:r>
              <w:t xml:space="preserve">Podaci iz PR-RAS-a</w:t>
            </w:r>
          </w:p>
        </w:tc>
        <w:tc>
          <w:tcPr>
            <w:tcW w:w="1000" w:type="pct"/>
            <w:vAlign w:val="center"/>
          </w:tcPr>
          <w:p>
            <w:r>
              <w:t xml:space="preserve">1. korekcija rezultata</w:t>
            </w:r>
          </w:p>
          <w:p>
            <w:r>
              <w:t xml:space="preserve">kapitalni prijenosi</w:t>
            </w:r>
          </w:p>
        </w:tc>
        <w:tc>
          <w:tcPr>
            <w:tcW w:w="1000" w:type="pct"/>
            <w:vAlign w:val="center"/>
          </w:tcPr>
          <w:p>
            <w:r>
              <w:t xml:space="preserve">Podaci za bilancu na 31.12.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92211</w:t>
            </w:r>
          </w:p>
        </w:tc>
        <w:tc>
          <w:tcPr>
            <w:tcW w:w="1000" w:type="pct"/>
            <w:vAlign w:val="center"/>
          </w:tcPr>
          <w:p>
            <w:r>
              <w:t xml:space="preserve">Višak prihoda poslovanja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92212</w:t>
            </w:r>
          </w:p>
        </w:tc>
        <w:tc>
          <w:tcPr>
            <w:tcW w:w="1000" w:type="pct"/>
            <w:vAlign w:val="center"/>
          </w:tcPr>
          <w:p>
            <w:r>
              <w:t xml:space="preserve">Višak prihoda od nefinancijske imovine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92213</w:t>
            </w:r>
          </w:p>
        </w:tc>
        <w:tc>
          <w:tcPr>
            <w:tcW w:w="1000" w:type="pct"/>
            <w:vAlign w:val="center"/>
          </w:tcPr>
          <w:p>
            <w:r>
              <w:t xml:space="preserve">Višak primitaka od financijske imovine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92221</w:t>
            </w:r>
          </w:p>
        </w:tc>
        <w:tc>
          <w:tcPr>
            <w:tcW w:w="1000" w:type="pct"/>
            <w:vAlign w:val="center"/>
          </w:tcPr>
          <w:p>
            <w:r>
              <w:t xml:space="preserve">Manjak prihoda poslovanja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-120.376,80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-2.814,31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-123.191,11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92222</w:t>
            </w:r>
          </w:p>
        </w:tc>
        <w:tc>
          <w:tcPr>
            <w:tcW w:w="1000" w:type="pct"/>
            <w:vAlign w:val="center"/>
          </w:tcPr>
          <w:p>
            <w:r>
              <w:t xml:space="preserve">Manjak prihoda od nefinancijske imovine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-10.687,39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+2.814,31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-7.873,08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92223</w:t>
            </w:r>
          </w:p>
        </w:tc>
        <w:tc>
          <w:tcPr>
            <w:tcW w:w="1000" w:type="pct"/>
            <w:vAlign w:val="center"/>
          </w:tcPr>
          <w:p>
            <w:r>
              <w:t xml:space="preserve">Manjak prihoda od financijske imovine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/>
        <w:tc>
          <w:tcPr>
            <w:tcW w:w="1000" w:type="pct"/>
            <w:vAlign w:val="center"/>
          </w:tcPr>
          <w:p>
            <w:r>
              <w:t xml:space="preserve">922</w:t>
            </w:r>
          </w:p>
        </w:tc>
        <w:tc>
          <w:tcPr>
            <w:tcW w:w="1000" w:type="pct"/>
            <w:vAlign w:val="center"/>
          </w:tcPr>
          <w:p>
            <w:r>
              <w:t xml:space="preserve">Višak/manjak prihoda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-131.064,19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000" w:type="pct"/>
            <w:vAlign w:val="center"/>
          </w:tcPr>
          <w:p>
            <w:pPr>
              <w:keepNext/>
              <w:jc w:val="right"/>
            </w:pPr>
            <w:r>
              <w:t xml:space="preserve">-131.064,19</w:t>
            </w:r>
          </w:p>
        </w:tc>
      </w:tr>
    </w:tbl>
    <w:p>
      <w:r>
        <w:t xml:space="preserve">Obrazloženje korekcije rezultata zbog kapitalnih prijenosa:</w:t>
      </w:r>
    </w:p>
    <w:p>
      <w:r>
        <w:t xml:space="preserve">Tijekom 2025. godine evidentirani su na računima kapitalnih prijenosa sredstava u iznosu 2.814,31 € koji su utrošeni za nabavu dugotrajne nefinancijske imovine:</w:t>
      </w:r>
    </w:p>
    <w:p>
      <w:r>
        <w:t xml:space="preserve">-          6362 Kapitalne pomoći proračunskim korisnicima iz proračuna koji im nije nadležan – 2.755,31 €</w:t>
      </w:r>
    </w:p>
    <w:p>
      <w:r>
        <w:t xml:space="preserve">-          6632 Kapitalne donacije – 59,00 €</w:t>
      </w:r>
    </w:p>
    <w:p>
      <w:r>
        <w:t xml:space="preserve">Navedeni kapitalni prihodi utjecali su na rezultat od redovnog poslovanja, a nabavljena nefinancijska imovina na rezultat od nefinancijske imovine. Provedena je korekcija rezultata na način da se za iznos 2.814,31 € zadužuje račun manjka prihoda poslovanja, a odobrava račun manjka prihoda od nefinancijske imovine.</w:t>
      </w:r>
    </w:p>
    <w:p>
      <w:r>
        <w:t xml:space="preserve"> </w:t>
      </w:r>
    </w:p>
    <w:p>
      <w:r>
        <w:t xml:space="preserve">Financijski rezultat dobiven je nakon korekcije rezultata između manjka prihoda poslovanja i manjka prihoda od nefinancijske imovine za ostvarene kapitalne pomoći utrošene za nabavu nefinancijske imovine tijekom 2025. godine. Škola je ostvarila višak prihoda u iznosu od 75.008,78 € (preneseni višak prihoda iz prethodnih godina umanjen za manjak prihoda u 2025. godini. Manjak koji je nastao odnosi se na knjiženje 13 rashoda za plaće, a 12 prihoda za plaće. Također sufinanciranje troškova prehrane učenika od strane MZOM-a ne prati troškove prehrane.</w:t>
      </w:r>
    </w:p>
    <w:tbl>
      <w:tblPr>
        <w:tblStyle w:val="TableGrid"/>
        <w:tblW w:w="5000" w:type="pct"/>
      </w:tblPr>
      <w:tblGrid>
        <w:gridCol w:w="2408"/>
        <w:gridCol w:w="2408"/>
        <w:gridCol w:w="2408"/>
        <w:gridCol w:w="2408"/>
      </w:tblGrid>
      <w:tr>
        <w:trPr>
          <w:trHeight w:val="878" w:hRule="atLeast"/>
        </w:trPr>
        <w:tc>
          <w:tcPr>
            <w:tcW w:w="1251" w:type="pct"/>
            <w:vAlign w:val="center"/>
          </w:tcPr>
          <w:p>
            <w:r>
              <w:t xml:space="preserve">OPIS</w:t>
            </w:r>
          </w:p>
        </w:tc>
        <w:tc>
          <w:tcPr>
            <w:tcW w:w="1251" w:type="pct"/>
            <w:vAlign w:val="center"/>
          </w:tcPr>
          <w:p>
            <w:r>
              <w:t xml:space="preserve">Višak/manjak prihoda poslovanja</w:t>
            </w:r>
          </w:p>
        </w:tc>
        <w:tc>
          <w:tcPr>
            <w:tcW w:w="1251" w:type="pct"/>
            <w:vAlign w:val="center"/>
          </w:tcPr>
          <w:p>
            <w:r>
              <w:t xml:space="preserve">Višak/manjak prihoda od nefinancijske imovine</w:t>
            </w:r>
          </w:p>
        </w:tc>
        <w:tc>
          <w:tcPr>
            <w:tcW w:w="1251" w:type="pct"/>
            <w:vAlign w:val="center"/>
          </w:tcPr>
          <w:p>
            <w:r>
              <w:t xml:space="preserve">Višak/manjak prihoda od financijske imovine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Početno stanje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56.055,41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Tekuća godina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-120.376,80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-10.687,39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UKUPNO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-64.321,39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-10.687,39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Korekcija rezultata za kap. ulaganja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-2.814,31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+2.814,31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  <w:tr>
        <w:trPr>
          <w:trHeight w:val="878" w:hRule="atLeast"/>
        </w:trPr>
        <w:tc>
          <w:tcPr>
            <w:tcW w:w="1251" w:type="pct"/>
            <w:vAlign w:val="center"/>
          </w:tcPr>
          <w:p>
            <w:r>
              <w:t xml:space="preserve">Višak/manjak za prijenos u sljedeće razdoblje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-67.135,70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-7.873,08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</w:t>
            </w:r>
          </w:p>
        </w:tc>
      </w:tr>
    </w:tbl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83.550,04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82.655,35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navedeni su troškovi prehrane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68.861,91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zbog provedenog ispravka vrijednosti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zbog isknjiženja imovine koja nije potpuno amortizirana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123.244,01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poziciju V001 – režijski troškovi za prosinac 2024.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128.807,95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uz poziciju V009 – rokovi dospijeća obveza su 1 – 60 dana u 2026. godini. Obveze za rashode poslovanja u iznosu od 128.807,95 eura odnose se na:</w:t>
      </w:r>
      <w:r>
        <w:br/>
      </w:r>
      <w:r>
        <w:t xml:space="preserve">-          231 – obveze za zaposlene u iznosu 117.716,91 eura, odnosno plaću za prosinac 2025. godine koja je isplaćena 9. siječnja 2026. godine</w:t>
      </w:r>
    </w:p>
    <w:p>
      <w:r>
        <w:t xml:space="preserve">-          232 – obveze za materijalne rashode 11.041,27 eura, sve s dospijećem do kraja siječnja 2026. godine</w:t>
      </w:r>
    </w:p>
    <w:p>
      <w:r>
        <w:t xml:space="preserve">-          237 – obveze proračunskih korisnika za povrat u proračun – bolovanje HZZO u iznosu 49,77 eura</w:t>
      </w:r>
    </w:p>
    <w:tbl>
      <w:tblPr>
        <w:tblStyle w:val="TableGrid"/>
        <w:tblW w:w="5000" w:type="pct"/>
      </w:tblPr>
      <w:tblGrid>
        <w:gridCol w:w="2408"/>
        <w:gridCol w:w="2408"/>
        <w:gridCol w:w="2408"/>
        <w:gridCol w:w="2408"/>
      </w:tblGrid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Opis</w:t>
            </w:r>
          </w:p>
        </w:tc>
        <w:tc>
          <w:tcPr>
            <w:tcW w:w="1251" w:type="pct"/>
            <w:vAlign w:val="center"/>
          </w:tcPr>
          <w:p>
            <w:r>
              <w:t xml:space="preserve">Stanje obveza na dan 31.12.2024.</w:t>
            </w:r>
          </w:p>
        </w:tc>
        <w:tc>
          <w:tcPr>
            <w:tcW w:w="1251" w:type="pct"/>
            <w:vAlign w:val="center"/>
          </w:tcPr>
          <w:p>
            <w:r>
              <w:t xml:space="preserve">Stanje obveza na dan 31.12.2025.</w:t>
            </w:r>
          </w:p>
        </w:tc>
        <w:tc>
          <w:tcPr>
            <w:tcW w:w="1251" w:type="pct"/>
            <w:vAlign w:val="center"/>
          </w:tcPr>
          <w:p>
            <w:r>
              <w:t xml:space="preserve">Indeks u %</w:t>
            </w:r>
          </w:p>
        </w:tc>
      </w:tr>
      <w:tr>
        <w:trPr>
          <w:trHeight w:val="878" w:hRule="atLeast"/>
        </w:trPr>
        <w:tc>
          <w:tcPr>
            <w:tcW w:w="1251" w:type="pct"/>
            <w:vAlign w:val="center"/>
          </w:tcPr>
          <w:p>
            <w:r>
              <w:t xml:space="preserve">Međusobne obveze proračunskih korisnika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49,77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Obveze za zaposlene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110.482,37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117.716,91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106,55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Obveze za materijalne rashode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12.761,64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11.041,27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86,52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Obveze za nabavu nefinancijske imovine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-</w:t>
            </w:r>
          </w:p>
        </w:tc>
      </w:tr>
      <w:tr>
        <w:trPr>
          <w:trHeight w:val="542" w:hRule="atLeast"/>
        </w:trPr>
        <w:tc>
          <w:tcPr>
            <w:tcW w:w="1251" w:type="pct"/>
            <w:vAlign w:val="center"/>
          </w:tcPr>
          <w:p>
            <w:r>
              <w:t xml:space="preserve">UKUPNO: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123.244,01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128.807,95</w:t>
            </w:r>
          </w:p>
        </w:tc>
        <w:tc>
          <w:tcPr>
            <w:tcW w:w="1251" w:type="pct"/>
            <w:vAlign w:val="center"/>
          </w:tcPr>
          <w:p>
            <w:pPr>
              <w:keepNext/>
              <w:jc w:val="right"/>
            </w:pPr>
            <w:r>
              <w:t xml:space="preserve">104,52</w:t>
            </w:r>
          </w:p>
        </w:tc>
      </w:tr>
    </w:tbl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Iskazani iznosi na pozicijama prihoda i rashoda odnose se na financiranje plaća i materijalnih prava pomoćnika u nastavi i stručnih komunikacijskih posrednika učenicima s teškoćama u razvoju u osnovnoškolskim i srednjoškolskim odgojno-obrazovnim ustanovama.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c6f053c8b4f46" /></Relationships>
</file>